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5244</w:t>
        <w:t xml:space="preserve">.  </w:t>
      </w:r>
      <w:r>
        <w:rPr>
          <w:b/>
        </w:rPr>
        <w:t xml:space="preserve">Previously designated districts</w:t>
      </w:r>
    </w:p>
    <w:p>
      <w:pPr>
        <w:jc w:val="both"/>
        <w:spacing w:before="100" w:after="100"/>
        <w:ind w:start="360"/>
        <w:ind w:firstLine="360"/>
      </w:pPr>
      <w:r>
        <w:rPr/>
      </w:r>
      <w:r>
        <w:rPr/>
      </w:r>
      <w:r>
        <w:t xml:space="preserve">Development districts and development programs designated before the effective date of this chapter remain in effect as authorized by law at the time of their designation and are governed by former </w:t>
      </w:r>
      <w:r>
        <w:t>chapter 207</w:t>
      </w:r>
      <w:r>
        <w:t xml:space="preserve"> as it existed immediately before its repeal except to the extent of any amendments to such development districts and development programs that are made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§5244. Previously designated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§5244. Previously designated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§5244. PREVIOUSLY DESIGNATED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