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Conflicts of interest</w:t>
      </w:r>
    </w:p>
    <w:p>
      <w:pPr>
        <w:jc w:val="both"/>
        <w:spacing w:before="100" w:after="100"/>
        <w:ind w:start="360"/>
        <w:ind w:firstLine="360"/>
      </w:pPr>
      <w:r>
        <w:rPr/>
      </w:r>
      <w:r>
        <w:rPr/>
      </w:r>
      <w:r>
        <w:t>Sections 2604</w:t>
      </w:r>
      <w:r>
        <w:t xml:space="preserve"> and </w:t>
      </w:r>
      <w:r>
        <w:t>2605</w:t>
      </w:r>
      <w:r>
        <w:t xml:space="preserve">, invalidating certain actions due to conflicts of interest, apply to all county officials.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 Conflicts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Conflicts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 CONFLICTS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