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4857</w:t>
        <w:t xml:space="preserve">.  </w:t>
      </w:r>
      <w:r>
        <w:rPr>
          <w:b/>
        </w:rPr>
        <w:t xml:space="preserve">Recovery of money applied from fund</w:t>
      </w:r>
    </w:p>
    <w:p>
      <w:pPr>
        <w:jc w:val="both"/>
        <w:spacing w:before="100" w:after="100"/>
        <w:ind w:start="360"/>
        <w:ind w:firstLine="360"/>
      </w:pPr>
      <w:r>
        <w:rPr/>
      </w:r>
      <w:r>
        <w:rPr/>
      </w:r>
      <w:r>
        <w:t xml:space="preserve">To the extent permitted by law and to the extent it is economically and socially reasonable, the Maine State Housing Authority may recover amounts from any person on whose behalf money from the fund has been applied to carry out this subchapter and may charge interest on those amounts at a rate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Recovery deferred.</w:t>
        <w:t xml:space="preserve"> </w:t>
      </w:r>
      <w:r>
        <w:t xml:space="preserve"> </w:t>
      </w:r>
      <w:r>
        <w:t xml:space="preserve">The recovery may be deferred until:</w:t>
      </w:r>
    </w:p>
    <w:p>
      <w:pPr>
        <w:jc w:val="both"/>
        <w:spacing w:before="100" w:after="0"/>
        <w:ind w:start="720"/>
      </w:pPr>
      <w:r>
        <w:rPr/>
        <w:t>A</w:t>
        <w:t xml:space="preserve">.  </w:t>
      </w:r>
      <w:r>
        <w:rPr/>
      </w:r>
      <w:r>
        <w:t xml:space="preserve">The sale or refinancing of the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end of the term of the mortgage loan;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time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 of recovery.</w:t>
        <w:t xml:space="preserve"> </w:t>
      </w:r>
      <w:r>
        <w:t xml:space="preserve"> </w:t>
      </w:r>
      <w:r>
        <w:t xml:space="preserve">Recourse for the recovery is limited to property subject to the mortgage, except in cases of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§4857. Recovery of money applied from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§4857. Recovery of money applied from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§4857. RECOVERY OF MONEY APPLIED FROM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