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w:t>
        <w:t xml:space="preserve">.  </w:t>
      </w:r>
      <w:r>
        <w:rPr>
          <w:b/>
        </w:rPr>
        <w:t xml:space="preserve">Investigation, intelligence or laboratory services</w:t>
      </w:r>
    </w:p>
    <w:p>
      <w:pPr>
        <w:jc w:val="both"/>
        <w:spacing w:before="100" w:after="100"/>
        <w:ind w:start="360"/>
        <w:ind w:firstLine="360"/>
      </w:pPr>
      <w:r>
        <w:rPr/>
      </w:r>
      <w:r>
        <w:rPr/>
      </w:r>
      <w:r>
        <w:t xml:space="preserve">Counties may provide investigation, intelligence or laboratory services within the sheriff's department to aid county law enforcement, municipal police departments or the district attorney.  The county may set uniform charges payable by municipalities for specific laboratory procedures or tests, when those charges reflect the actual cost of the procedures or tests, but may not require or accept any additional payments, other than the county tax, for investigation, intelligence or other laboratory services when they are provided to municipal departments or the district attorney.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§455. Investigation, intelligence or laboratory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 Investigation, intelligence or laboratory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§455. INVESTIGATION, INTELLIGENCE OR LABORATORY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