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Commission.</w:t>
        <w:t xml:space="preserve"> </w:t>
      </w:r>
      <w:r>
        <w:t xml:space="preserve"> </w:t>
      </w:r>
      <w:r>
        <w:t xml:space="preserve">"Commission" means a river corridor commission granted approval by the commissioner under </w:t>
      </w:r>
      <w:r>
        <w:t>section 4463</w:t>
      </w:r>
      <w:r>
        <w:t xml:space="preserve"> and authorized by </w:t>
      </w:r>
      <w:r>
        <w:t>Title 5, chapter 379</w:t>
      </w:r>
      <w:r>
        <w:t xml:space="preserve">, or as established under </w:t>
      </w:r>
      <w:r>
        <w:t>Title 38, chapter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2011, c. 657, Pt. W, §6 (REV).]</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2011, c. 657, Pt. W, §§5,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§4462.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§4462.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