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3441</w:t>
        <w:t xml:space="preserve">.  </w:t>
      </w:r>
      <w:r>
        <w:rPr>
          <w:b/>
        </w:rPr>
        <w:t xml:space="preserve">Applicability of provisions</w:t>
      </w:r>
    </w:p>
    <w:p>
      <w:pPr>
        <w:jc w:val="both"/>
        <w:spacing w:before="100" w:after="100"/>
        <w:ind w:start="360"/>
        <w:ind w:firstLine="360"/>
      </w:pPr>
      <w:r>
        <w:rPr/>
      </w:r>
      <w:r>
        <w:rPr/>
      </w:r>
      <w:r>
        <w:t xml:space="preserve">This subchapter does not apply to any municipality until it is accepted by the municipality's legislative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§3441.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§3441.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§3441.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