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Dismissal of cases</w:t>
      </w:r>
    </w:p>
    <w:p>
      <w:pPr>
        <w:jc w:val="both"/>
        <w:spacing w:before="100" w:after="0"/>
        <w:ind w:start="360"/>
        <w:ind w:firstLine="360"/>
      </w:pPr>
      <w:r>
        <w:rPr>
          <w:b/>
        </w:rPr>
        <w:t>1</w:t>
        <w:t xml:space="preserve">.  </w:t>
      </w:r>
      <w:r>
        <w:rPr>
          <w:b/>
        </w:rPr>
        <w:t xml:space="preserve">Civil cases.</w:t>
        <w:t xml:space="preserve"> </w:t>
      </w:r>
      <w:r>
        <w:t xml:space="preserve"> </w:t>
      </w:r>
      <w:r>
        <w:t xml:space="preserve">In order to dismiss civil cases, the district attorney must sign a written order of dismissal together with a statement of the reasons for dismissal upon the back of the writ or complaint in those cases.  This order of dismissal does not take effect unless approved in writing by the justice presiding at the term when the dismissal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Criminal cases.</w:t>
        <w:t xml:space="preserve"> </w:t>
      </w:r>
      <w:r>
        <w:t xml:space="preserve"> </w:t>
      </w:r>
      <w:r>
        <w:t xml:space="preserve">The district attorney may dismiss criminal cases in such manner and under such circumstances as the Supreme Judicial Court may provide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 Dismissal of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Dismissal of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§284. DISMISSAL OF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