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2637</w:t>
        <w:t xml:space="preserve">.  </w:t>
      </w:r>
      <w:r>
        <w:rPr>
          <w:b/>
        </w:rPr>
        <w:t xml:space="preserve">Transitional provisions</w:t>
      </w:r>
    </w:p>
    <w:p>
      <w:pPr>
        <w:jc w:val="both"/>
        <w:spacing w:before="100" w:after="100"/>
        <w:ind w:start="360"/>
        <w:ind w:firstLine="360"/>
      </w:pPr>
      <w:r>
        <w:rPr/>
      </w:r>
      <w:r>
        <w:rPr/>
      </w:r>
      <w:r>
        <w:t xml:space="preserve">The select board, by resolve, may provide for the orderly transition of the town government.  These resolves may not infringe upon the rights of any official or employee of the town and may not be inconsistent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275,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§2637. Transitional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§2637. Transitional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§2637. TRANSITIONAL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