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w:t>
        <w:t xml:space="preserve">.  </w:t>
      </w:r>
      <w:r>
        <w:rPr>
          <w:b/>
        </w:rPr>
        <w:t xml:space="preserve">Vacancies; expiration of term</w:t>
      </w:r>
    </w:p>
    <w:p>
      <w:pPr>
        <w:jc w:val="both"/>
        <w:spacing w:before="100" w:after="100"/>
        <w:ind w:start="360"/>
        <w:ind w:firstLine="360"/>
      </w:pPr>
      <w:r>
        <w:rPr/>
      </w:r>
      <w:r>
        <w:rPr/>
      </w:r>
      <w:r>
        <w:t xml:space="preserve">Vacancies to occur by expiration of the term of office at the end of any year in which a biennial election is held shall be filled by election on the Tuesday following the first Monday of November in that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Term of office.</w:t>
        <w:t xml:space="preserve"> </w:t>
      </w:r>
      <w:r>
        <w:t xml:space="preserve"> </w:t>
      </w:r>
      <w:r>
        <w:t xml:space="preserve">The term of office for a county commissioner is 4 years, except when a person is elected to fill an unexpired term, in which case it is for the remainder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Election designation.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§40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2019, c. 371,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 Vacancies; expiration of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 Vacancies; expiration of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 VACANCIES; EXPIRATION OF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