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Approval of legislation</w:t>
      </w:r>
    </w:p>
    <w:p>
      <w:pPr>
        <w:jc w:val="both"/>
        <w:spacing w:before="100" w:after="100"/>
        <w:ind w:start="360"/>
        <w:ind w:firstLine="360"/>
      </w:pPr>
      <w:r>
        <w:rPr/>
      </w:r>
      <w:r>
        <w:rPr/>
      </w:r>
      <w:r>
        <w:t xml:space="preserve">When approval of legislation by an Indian tribe or Indian nation is required by the United States Code, Title 25, Section 1725(e), or other act of Congress, certification of that approval shall be made to the Secretary of State by the officer of the affected Indian tribe or Indian nation designated in section 602 or 603.  The certification shall state the date and manner of approval of the legislation and shall be prima facie evidence of approval.  The Secretary of State shall forthwith transmit certified copies of the certification of approval to the Secretary of the Senate and the Clerk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1989, c. 148, §§1, 4 (AMD);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497, §1 (NEW). PL 1989, c. 148, §§1,4 (AMD). PL 2023, c. 369, Pt. A,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§601. Approval of legislation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Approval of legislation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§601. APPROVAL OF LEGISLATION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