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312-B</w:t>
        <w:t xml:space="preserve">.  </w:t>
      </w:r>
      <w:r>
        <w:rPr>
          <w:b/>
        </w:rPr>
        <w:t xml:space="preserve">Required training regarding harassment</w:t>
      </w:r>
    </w:p>
    <w:p>
      <w:pPr>
        <w:jc w:val="both"/>
        <w:spacing w:before="100" w:after="100"/>
        <w:ind w:start="360"/>
        <w:ind w:firstLine="360"/>
      </w:pPr>
      <w:r>
        <w:rPr/>
      </w:r>
      <w:r>
        <w:rPr/>
      </w:r>
      <w:r>
        <w:t xml:space="preserve">A lobbyist or lobbyist associate shall complete the training required under </w:t>
      </w:r>
      <w:r>
        <w:t>section 170‑B</w:t>
      </w:r>
      <w:r>
        <w:t xml:space="preserve">, retain proof of completion of the training for 2 years following completion and certify completion of that training to the commission at the time of registration under </w:t>
      </w:r>
      <w:r>
        <w:t>section 313</w:t>
      </w:r>
      <w:r>
        <w:t xml:space="preserve">.  If completion of the required training prior to registration is not possible due to circumstances that are beyond a lobbyist's or lobbyist associate's control, the commission may provide a limited extension to that lobbyist or lobbyist associate for completion of the training.  If a lobbyist or lobbyist associate has a very limited physical presence in the State House and the Burton M. Cross Building, the commission may exempt the lobbyist or lobbyist associate from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587, §6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§2 (NEW). PL 2019, c. 587, §6 (AMD).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§312-B. Required training regarding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§312-B. Required training regarding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§312-B. REQUIRED TRAINING REGARDING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