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Panel</w:t>
      </w:r>
    </w:p>
    <w:p>
      <w:pPr>
        <w:jc w:val="both"/>
        <w:spacing w:before="100" w:after="100"/>
        <w:ind w:start="360"/>
        <w:ind w:firstLine="360"/>
      </w:pPr>
      <w:r>
        <w:rPr/>
      </w:r>
      <w:r>
        <w:rPr/>
      </w:r>
      <w:r>
        <w:t xml:space="preserve">The Panel of Mediators, as established by </w:t>
      </w:r>
      <w:r>
        <w:t>Title 5, section 12004‑B, subsection 3</w:t>
      </w:r>
      <w:r>
        <w:t xml:space="preserve">,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compensation according to </w:t>
      </w:r>
      <w:r>
        <w:t>section 965, subsection 2, paragraph C</w:t>
      </w:r>
      <w:r>
        <w:t xml:space="preserve">. The costs for services rendered and expenses incurred by the panel and any applicable state cost allocation program charges must be shared equally by the parties to mediation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1997,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PL 1983, c. 812, §160 (AMD). PL 1991, c. 92, §1 (AMD). PL 1991, c. 622, §O2 (AMD). PL 1991, c. 798, §2 (AMD). PL 1997, c. 412,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§892.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§892.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