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3714</w:t>
        <w:t xml:space="preserve">.  </w:t>
      </w:r>
      <w:r>
        <w:rPr>
          <w:b/>
        </w:rPr>
        <w:t xml:space="preserve">Penalty</w:t>
      </w:r>
    </w:p>
    <w:p>
      <w:pPr>
        <w:jc w:val="both"/>
        <w:spacing w:before="100" w:after="100"/>
        <w:ind w:start="360"/>
        <w:ind w:firstLine="360"/>
      </w:pPr>
      <w:r>
        <w:rPr/>
      </w:r>
      <w:r>
        <w:rPr/>
      </w:r>
      <w:r>
        <w:t xml:space="preserve">Any person found to be in violation of this subchapter is guilty of a Class E crime.</w:t>
      </w:r>
      <w:r>
        <w:t xml:space="preserve">  </w:t>
      </w:r>
      <w:r xmlns:wp="http://schemas.openxmlformats.org/drawingml/2010/wordprocessingDrawing" xmlns:w15="http://schemas.microsoft.com/office/word/2012/wordml">
        <w:rPr>
          <w:rFonts w:ascii="Arial" w:hAnsi="Arial" w:cs="Arial"/>
          <w:sz w:val="22"/>
          <w:szCs w:val="22"/>
        </w:rPr>
        <w:t xml:space="preserve">[PL 1985, c. 56,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56,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§3714.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§3714.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§3714.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