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Organization</w:t>
      </w:r>
    </w:p>
    <w:p>
      <w:pPr>
        <w:jc w:val="both"/>
        <w:spacing w:before="100" w:after="100"/>
        <w:ind w:start="360"/>
        <w:ind w:firstLine="360"/>
      </w:pPr>
      <w:r>
        <w:rPr/>
      </w:r>
      <w:r>
        <w:rPr/>
      </w:r>
      <w:r>
        <w:t xml:space="preserve">The Commissioner of Public Safety shall organize the Department of Public Safety into the Maine Criminal Justice Academy and the following bureaus:</w:t>
      </w:r>
      <w:r>
        <w:t xml:space="preserve">  </w:t>
      </w:r>
      <w:r xmlns:wp="http://schemas.openxmlformats.org/drawingml/2010/wordprocessingDrawing" xmlns:w15="http://schemas.microsoft.com/office/word/2012/wordml">
        <w:rPr>
          <w:rFonts w:ascii="Arial" w:hAnsi="Arial" w:cs="Arial"/>
          <w:sz w:val="22"/>
          <w:szCs w:val="22"/>
        </w:rPr>
        <w:t xml:space="preserve">[PL 1975, c. 579, §12 (NEW).]</w:t>
      </w:r>
    </w:p>
    <w:p>
      <w:pPr>
        <w:jc w:val="both"/>
        <w:spacing w:before="100" w:after="0"/>
        <w:ind w:start="360"/>
        <w:ind w:firstLine="360"/>
      </w:pPr>
      <w:r>
        <w:rPr>
          <w:b/>
        </w:rPr>
        <w:t>1</w:t>
        <w:t xml:space="preserve">.  </w:t>
      </w:r>
      <w:r>
        <w:rPr>
          <w:b/>
        </w:rPr>
        <w:t xml:space="preserve">Bureau of State Police.</w:t>
        <w:t xml:space="preserve"> </w:t>
      </w:r>
      <w:r>
        <w:t xml:space="preserve"> </w:t>
      </w:r>
      <w:r>
        <w:t xml:space="preserve">The Bureau of State Police, which is under the direction of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2</w:t>
        <w:t xml:space="preserve">.  </w:t>
      </w:r>
      <w:r>
        <w:rPr>
          <w:b/>
        </w:rPr>
        <w:t xml:space="preserve">Office of State Fire Marshal.</w:t>
        <w:t xml:space="preserve"> </w:t>
      </w:r>
      <w:r>
        <w:t xml:space="preserve"> </w:t>
      </w:r>
      <w:r>
        <w:t xml:space="preserve">The Office of State Fire Marshal, which is under the direction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100"/>
        <w:ind w:start="360"/>
        <w:ind w:firstLine="360"/>
      </w:pPr>
      <w:r>
        <w:rPr>
          <w:b/>
        </w:rPr>
        <w:t>3</w:t>
        <w:t xml:space="preserve">.  </w:t>
      </w:r>
      <w:r>
        <w:rPr>
          <w:b/>
        </w:rPr>
        <w:t xml:space="preserve">Bureau of Liquor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§5 (RP).]</w:t>
      </w:r>
    </w:p>
    <w:p>
      <w:pPr>
        <w:jc w:val="both"/>
        <w:spacing w:before="100" w:after="100"/>
        <w:ind w:start="360"/>
        <w:ind w:firstLine="360"/>
      </w:pPr>
      <w:r>
        <w:rPr>
          <w:b/>
        </w:rPr>
        <w:t>4</w:t>
        <w:t xml:space="preserve">.  </w:t>
      </w:r>
      <w:r>
        <w:rPr>
          <w:b/>
        </w:rPr>
        <w:t xml:space="preserve">Maine Highway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§115 (RP).]</w:t>
      </w:r>
    </w:p>
    <w:p>
      <w:pPr>
        <w:jc w:val="both"/>
        <w:spacing w:before="100" w:after="100"/>
        <w:ind w:start="360"/>
        <w:ind w:firstLine="360"/>
      </w:pPr>
      <w:r>
        <w:rPr>
          <w:b/>
        </w:rPr>
        <w:t>5</w:t>
        <w:t xml:space="preserve">.  </w:t>
      </w:r>
      <w:r>
        <w:rPr>
          <w:b/>
        </w:rPr>
        <w:t xml:space="preserve">Vehicle Equipment Safety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§3 (RP).]</w:t>
      </w:r>
    </w:p>
    <w:p>
      <w:pPr>
        <w:jc w:val="both"/>
        <w:spacing w:before="100" w:after="0"/>
        <w:ind w:start="360"/>
        <w:ind w:firstLine="360"/>
      </w:pPr>
      <w:r>
        <w:rPr>
          <w:b/>
        </w:rPr>
        <w:t>6</w:t>
        <w:t xml:space="preserve">.  </w:t>
      </w:r>
      <w:r>
        <w:rPr>
          <w:b/>
        </w:rPr>
        <w:t xml:space="preserve">Maine Drug Enforcement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§56 (RP).]</w:t>
      </w:r>
    </w:p>
    <w:p>
      <w:pPr>
        <w:jc w:val="both"/>
        <w:spacing w:before="100" w:after="0"/>
        <w:ind w:start="360"/>
        <w:ind w:firstLine="360"/>
      </w:pPr>
      <w:r>
        <w:rPr>
          <w:b/>
        </w:rPr>
        <w:t>6-A</w:t>
        <w:t xml:space="preserve">.  </w:t>
      </w:r>
      <w:r>
        <w:rPr>
          <w:b/>
        </w:rPr>
        <w:t xml:space="preserve">Maine Drug Enforcement Agency.</w:t>
        <w:t xml:space="preserve"> </w:t>
      </w:r>
      <w:r>
        <w:t xml:space="preserve"> </w:t>
      </w:r>
      <w:r>
        <w:t xml:space="preserve">The Maine Drug Enforcement Agency, which is under the direction of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§4 (AMD).]</w:t>
      </w:r>
    </w:p>
    <w:p>
      <w:pPr>
        <w:jc w:val="both"/>
        <w:spacing w:before="100" w:after="0"/>
        <w:ind w:start="360"/>
        <w:ind w:firstLine="360"/>
      </w:pPr>
      <w:r>
        <w:rPr>
          <w:b/>
        </w:rPr>
        <w:t>7</w:t>
        <w:t xml:space="preserve">.  </w:t>
      </w:r>
      <w:r>
        <w:rPr>
          <w:b/>
        </w:rPr>
        <w:t xml:space="preserve">Bureau of Highway Safety.</w:t>
        <w:t xml:space="preserve"> </w:t>
      </w:r>
      <w:r>
        <w:t xml:space="preserve"> </w:t>
      </w:r>
      <w:r>
        <w:t xml:space="preserve">The Bureau of Highway Safety, which is under the direction of the Director of the Bureau of Highway Safety.  The bureau is responsible for the State's highway safety program.  The bureau is authorized to develop and implement a process for obtaining information about highway safety programs administered by other state and local agencies and to provide and facilitate the provision of financial and technical assistance to other state agencies and political subdivisions for the purpose of developing and carrying out highway safety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§5 (AMD).]</w:t>
      </w:r>
    </w:p>
    <w:p>
      <w:pPr>
        <w:jc w:val="both"/>
        <w:spacing w:before="100" w:after="0"/>
        <w:ind w:start="360"/>
        <w:ind w:firstLine="360"/>
      </w:pPr>
      <w:r>
        <w:rPr>
          <w:b/>
        </w:rPr>
        <w:t>8</w:t>
        <w:t xml:space="preserve">.  </w:t>
      </w:r>
      <w:r>
        <w:rPr>
          <w:b/>
        </w:rPr>
        <w:t xml:space="preserve">Bureau of Capitol Police.</w:t>
        <w:t xml:space="preserve"> </w:t>
      </w:r>
      <w:r>
        <w:t xml:space="preserve"> </w:t>
      </w:r>
      <w:r>
        <w:t xml:space="preserve">The Bureau of Capitol Police, which is under the direction of the Chief of the Bureau of Capitol Police.  Police officers of this bureau are those appointed by the Commissioner of Public Safety pursuant to </w:t>
      </w:r>
      <w:r>
        <w:t>section 2908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§6 (AMD).]</w:t>
      </w:r>
    </w:p>
    <w:p>
      <w:pPr>
        <w:jc w:val="both"/>
        <w:spacing w:before="100" w:after="0"/>
        <w:ind w:start="360"/>
        <w:ind w:firstLine="360"/>
      </w:pPr>
      <w:r>
        <w:rPr>
          <w:b/>
        </w:rPr>
        <w:t>9</w:t>
        <w:t xml:space="preserve">.  </w:t>
      </w:r>
      <w:r>
        <w:rPr>
          <w:b/>
        </w:rPr>
        <w:t xml:space="preserve">Bureau of Consolidated Emergency Communications.</w:t>
        <w:t xml:space="preserve"> </w:t>
      </w:r>
      <w:r>
        <w:t xml:space="preserve"> </w:t>
      </w:r>
      <w:r>
        <w:t xml:space="preserve">The Bureau of Consolidated Emergency Communications, which is under the direction of the Director of the Bureau of Consolidated Emergency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§7 (NEW).]</w:t>
      </w:r>
    </w:p>
    <w:p>
      <w:pPr>
        <w:jc w:val="both"/>
        <w:spacing w:before="100" w:after="0"/>
        <w:ind w:start="360"/>
        <w:ind w:firstLine="360"/>
      </w:pPr>
      <w:r>
        <w:rPr>
          <w:b/>
        </w:rPr>
        <w:t>10</w:t>
        <w:t xml:space="preserve">.  </w:t>
      </w:r>
      <w:r>
        <w:rPr>
          <w:b/>
        </w:rPr>
        <w:t xml:space="preserve">Maine Emergency Medical Services.</w:t>
        <w:t xml:space="preserve"> </w:t>
      </w:r>
      <w:r>
        <w:t xml:space="preserve"> </w:t>
      </w:r>
      <w:r>
        <w:t xml:space="preserve">The Maine Emergency Medical Services, which is under the direction of the Director of Maine Emergency Medical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§14 (AMD).]</w:t>
      </w:r>
    </w:p>
    <w:p>
      <w:pPr>
        <w:jc w:val="both"/>
        <w:spacing w:before="100" w:after="0"/>
        <w:ind w:start="360"/>
        <w:ind w:firstLine="360"/>
      </w:pPr>
      <w:r>
        <w:rPr>
          <w:b/>
        </w:rPr>
        <w:t>11</w:t>
        <w:t xml:space="preserve">.  </w:t>
      </w:r>
      <w:r>
        <w:rPr>
          <w:b/>
        </w:rPr>
        <w:t xml:space="preserve">Bureau of Building Codes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§15 (RP).]</w:t>
      </w:r>
    </w:p>
    <w:p>
      <w:pPr>
        <w:jc w:val="both"/>
        <w:spacing w:before="100" w:after="0"/>
        <w:ind w:start="360"/>
        <w:ind w:firstLine="360"/>
      </w:pPr>
      <w:r>
        <w:rPr>
          <w:b/>
        </w:rPr>
        <w:t>12</w:t>
        <w:t xml:space="preserve">.  </w:t>
      </w:r>
      <w:r>
        <w:rPr>
          <w:b/>
        </w:rPr>
        <w:t xml:space="preserve">Gambling Control Unit.</w:t>
        <w:t xml:space="preserve"> </w:t>
      </w:r>
      <w:r>
        <w:t xml:space="preserve"> </w:t>
      </w:r>
      <w:r>
        <w:t xml:space="preserve">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§10 (NEW).]</w:t>
      </w:r>
    </w:p>
    <w:p>
      <w:pPr>
        <w:jc w:val="both"/>
        <w:spacing w:before="100" w:after="100"/>
        <w:ind w:start="360"/>
        <w:ind w:firstLine="360"/>
      </w:pPr>
      <w:r>
        <w:rPr/>
      </w:r>
      <w:r>
        <w:rPr/>
      </w:r>
      <w:r>
        <w:t xml:space="preserve">Unless specified otherwise by law, department personnel are appointed subject to the Civil Service Law.  Persons holding major policy-influencing positions under </w:t>
      </w:r>
      <w:r>
        <w:t>Title 5, section 948</w:t>
      </w:r>
      <w:r>
        <w:t xml:space="preserve"> are appointed by and serve at the pleasure of the Commissioner of Public Safety,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2001, c. 559, Pt. KK,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§15 (NEW). PL 1973, c. 788, §114 (AMD). PL 1975, c. 579, §12 (RPR). PL 1981, c. 98, §§4,5 (AMD). PL 1983, c. 489, §13 (AMD). PL 1983, c. 812, §§153,154 (AMD). PL 1985, c. 737, §A61 (AMD). PL 1985, c. 785, §B113 (AMD). PL 1987, c. 251, §3 (AMD). PL 1987, c. 402, §A153 (AMD). PL 1987, c. 411, §§2-4 (AMD). PL 1987, c. 666, §5 (AMD). PL 1987, c. 769, §§A104,B6 (AMD). PL 1989, c. 503, §B106 (AMD). PL 1989, c. 648, §§3-5 (AMD). PL 1989, c. 700, §A101 (AMD). PL 1991, c. 824, §A54 (AMD). PL 1991, c. 837, §§B7,8 (AMD). PL 1991, c. 841, §§5-7 (AMD). PL 1993, c. 349, §§55,56 (AMD). PL 1999, c. 668, §115 (AMD). PL 2001, c. 559, §KK4 (AMD). PL 2003, c. 451, §T5 (AMD). PL 2009, c. 317, Pt. E, §§5-10 (AMD). PL 2011, c. 633,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