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2719</w:t>
        <w:t xml:space="preserve">.  </w:t>
      </w:r>
      <w:r>
        <w:rPr>
          <w:b/>
        </w:rPr>
        <w:t xml:space="preserve">Change of occupation</w:t>
      </w:r>
    </w:p>
    <w:p>
      <w:pPr>
        <w:jc w:val="both"/>
        <w:spacing w:before="100" w:after="100"/>
        <w:ind w:start="360"/>
        <w:ind w:firstLine="360"/>
      </w:pPr>
      <w:r>
        <w:rPr/>
      </w:r>
      <w:r>
        <w:rPr/>
      </w:r>
      <w:r>
        <w:t xml:space="preserve">There may be a provision as follows:</w:t>
      </w:r>
    </w:p>
    <w:p xmlns:wp="http://schemas.openxmlformats.org/drawingml/2010/wordprocessingDrawing" xmlns:w15="http://schemas.microsoft.com/office/word/2012/wordml">
      <w:pPr>
        <w:spacing w:before="100" w:after="100"/>
        <w:ind w:start="360"/>
        <w:ind w:firstLine="360"/>
      </w:pPr>
      <w:r>
        <w:t xml:space="preserve">Change of occupation: If the insured be injured or contract sickness after having changed the insured's occupation to one classified by the company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the insured's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 In applying this provision, the classification of occupational risk and the premium rates must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must be those last made effective by the insurer in such state prior to the occurrence of the loss or prior to the date of proof of change in occupation.</w:t>
      </w:r>
      <w:r>
        <w:t xml:space="preserve">  </w:t>
      </w:r>
      <w:r>
        <w:rPr>
          <w:rFonts w:ascii="Arial" w:hAnsi="Arial" w:cs="Arial"/>
          <w:sz w:val="22"/>
          <w:szCs w:val="22"/>
        </w:rPr>
        <w:t xml:space="preserve">[RR 2021, c. 1, Pt. B, §239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§2719. Change of occupation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§2719. Change of occupation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§2719. CHANGE OF OCCUPATION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