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Violation of rules, regulations, orders; penalty</w:t>
      </w:r>
    </w:p>
    <w:p>
      <w:pPr>
        <w:jc w:val="both"/>
        <w:spacing w:before="100" w:after="100"/>
        <w:ind w:start="360"/>
        <w:ind w:firstLine="360"/>
      </w:pPr>
      <w:r>
        <w:rPr/>
      </w:r>
      <w:r>
        <w:rPr/>
      </w:r>
      <w:r>
        <w:t xml:space="preserve">Any person who knowingly violates any rule, regulation or order of the superintendent shall be subject to such suspension or revocation of certificate of authority or license as may be applicable under this Title for violation of the provision to which such rule, regulation or order relates.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Violation of rules, regulations, orders;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Violation of rules, regulations, orders;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 VIOLATION OF RULES, REGULATIONS, ORDERS;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