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12957</w:t>
        <w:t xml:space="preserve">.  </w:t>
      </w:r>
      <w:r>
        <w:rPr>
          <w:b/>
        </w:rPr>
        <w:t xml:space="preserve">Annual recertification and limitations</w:t>
      </w:r>
    </w:p>
    <w:p>
      <w:pPr>
        <w:jc w:val="both"/>
        <w:spacing w:before="100" w:after="100"/>
        <w:ind w:start="360"/>
        <w:ind w:firstLine="360"/>
      </w:pPr>
      <w:r>
        <w:rPr/>
      </w:r>
      <w:r>
        <w:rPr/>
      </w:r>
      <w:r>
        <w:t xml:space="preserve">In order to remain eligible for an award, a recipient must annually submit to the authority an employer certification form certifying the recipient's employment status and salary or hourly wage.</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§12957. Annual recertification and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§12957. Annual recertification and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§12957. ANNUAL RECERTIFICATION AND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