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3303</w:t>
        <w:t xml:space="preserve">.  </w:t>
      </w:r>
      <w:r>
        <w:rPr>
          <w:b/>
        </w:rPr>
        <w:t xml:space="preserve">Student census</w:t>
      </w:r>
    </w:p>
    <w:p>
      <w:pPr>
        <w:jc w:val="both"/>
        <w:spacing w:before="100" w:after="100"/>
        <w:ind w:start="360"/>
        <w:ind w:firstLine="360"/>
      </w:pPr>
      <w:r>
        <w:rPr/>
      </w:r>
      <w:r>
        <w:rPr/>
      </w:r>
      <w:r>
        <w:t xml:space="preserve">By April 1st of each year, the commissioner shall determine the number, names and ages of all students of eligible age in the unorganized territory who have not graduated from high school.</w:t>
      </w:r>
      <w:r>
        <w:t xml:space="preserve">  </w:t>
      </w:r>
      <w:r xmlns:wp="http://schemas.openxmlformats.org/drawingml/2010/wordprocessingDrawing" xmlns:w15="http://schemas.microsoft.com/office/word/2012/wordml">
        <w:rPr>
          <w:rFonts w:ascii="Arial" w:hAnsi="Arial" w:cs="Arial"/>
          <w:sz w:val="22"/>
          <w:szCs w:val="22"/>
        </w:rPr>
        <w:t xml:space="preserve">[PL 1985, c. 490, §12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490, §12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§3303. Student census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§3303. Student census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§3303. STUDENT CENSUS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