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Rules</w:t>
      </w:r>
    </w:p>
    <w:p>
      <w:pPr>
        <w:jc w:val="both"/>
        <w:spacing w:before="100" w:after="100"/>
        <w:ind w:start="360"/>
        <w:ind w:firstLine="360"/>
      </w:pPr>
      <w:r>
        <w:rPr/>
      </w:r>
      <w:r>
        <w:rPr/>
      </w:r>
      <w:r>
        <w:t xml:space="preserve">A rule authorized or provisionally adopted pursuant to this Title after January 1, 2005 that proposes to regulate private schools is a major substantive rule and subject to legislative review in accordance with </w:t>
      </w:r>
      <w:r>
        <w:t>Title 5, chapter 375, subchapter 2‑A</w:t>
      </w:r>
      <w:r>
        <w:t xml:space="preserve">.  An amendment to a rule adopted pursuant to this Title prior to January 1, 2005 is considered a major substantive rule when the amendment pertains to private schools, and it is subject to legislative review in accordance with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