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Motor vehicle drivers</w:t>
      </w:r>
    </w:p>
    <w:p>
      <w:pPr>
        <w:jc w:val="both"/>
        <w:spacing w:before="100" w:after="100"/>
        <w:ind w:start="360"/>
        <w:ind w:firstLine="360"/>
      </w:pPr>
      <w:r>
        <w:rPr/>
      </w:r>
      <w:r>
        <w:rPr/>
      </w:r>
      <w:r>
        <w:t xml:space="preserve">The driver of a vehicle approaching a totally or partially blind or otherwise physically disabled pedestrian who is carrying a cane predominantly white or metallic in color, with or without a red tip, or using a service dog as defined in </w:t>
      </w:r>
      <w:r>
        <w:t>section 1312, subsection 7</w:t>
      </w:r>
      <w:r>
        <w:t xml:space="preserve"> shall take all necessary precautions to avoid injury to that blind or otherwise physically disabled pedestrian, and any driver who fails to take such precautions is liable in damages for any injury caused the pedestrian. A totally or partially blind or otherwise physically disabled pedestrian, not carrying such a cane or using a service dog in any of the places, accommodations or conveyances listed in </w:t>
      </w:r>
      <w:r>
        <w:t>section 1312</w:t>
      </w:r>
      <w:r>
        <w:t xml:space="preserve">, has all of the rights and privileges conferred by law upon other persons, and the failure of a totally or partially blind or otherwise physically disabled pedestrian to carry such a cane or to use a service dog in any such places, accommodations or conveyances may not be held to constitute nor be evidence of contributory negligence.</w:t>
      </w:r>
      <w:r>
        <w:t xml:space="preserve">  </w:t>
      </w:r>
      <w:r xmlns:wp="http://schemas.openxmlformats.org/drawingml/2010/wordprocessingDrawing" xmlns:w15="http://schemas.microsoft.com/office/word/2012/wordml">
        <w:rPr>
          <w:rFonts w:ascii="Arial" w:hAnsi="Arial" w:cs="Arial"/>
          <w:sz w:val="22"/>
          <w:szCs w:val="22"/>
        </w:rPr>
        <w:t xml:space="preserve">[PL 2011, c. 369,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 §1 (NEW). PL 1997, c. 611, §5 (AMD). PL 2007, c. 664, §21 (AMD). PL 2011, c. 369,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Motor vehicle drivers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Motor vehicle drivers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§1313. MOTOR VEHICLE DRIVERS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