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Inclusion of period of supervised release after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2003, c. 205, §5 (AMD). PL 2003, c. 711, §B18 (AMD). PL 2005, c. 673, §2 (AMD). PL 2007, c. 344, §§4, 5 (AMD). PL 2015, c. 358, §6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Inclusion of period of supervised release after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Inclusion of period of supervised release after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§1231. INCLUSION OF PERIOD OF SUPERVISED RELEASE AFTER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