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Short title</w:t>
      </w:r>
    </w:p>
    <w:p>
      <w:pPr>
        <w:jc w:val="both"/>
        <w:spacing w:before="100" w:after="100"/>
        <w:ind w:start="360"/>
        <w:ind w:firstLine="360"/>
      </w:pPr>
      <w:r>
        <w:rPr/>
      </w:r>
      <w:r>
        <w:rPr/>
      </w:r>
      <w:r>
        <w:t xml:space="preserve">This chapter may be known and cited as the "Maine Civil Recovery for Retail Theft Act."</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