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w:t>
        <w:t xml:space="preserve">.  </w:t>
      </w:r>
      <w:r>
        <w:rPr>
          <w:b/>
        </w:rPr>
        <w:t xml:space="preserve">Limitation of actions</w:t>
      </w:r>
    </w:p>
    <w:p>
      <w:pPr>
        <w:jc w:val="both"/>
        <w:spacing w:before="100" w:after="100"/>
        <w:ind w:start="360"/>
        <w:ind w:firstLine="360"/>
      </w:pPr>
      <w:r>
        <w:rPr/>
      </w:r>
      <w:r>
        <w:rPr/>
      </w:r>
      <w:r>
        <w:t xml:space="preserve">Every claim against a governmental entity or its employees permitted under this chapter is forever barred from the courts of this State, unless an action therein is begun within 2 years after the cause of action accrues, except that, if the claimant is a minor when the cause of action accrues, the action may be brought within 2 years of the minor's attaining 18 years of age.</w:t>
      </w:r>
      <w:r>
        <w:t xml:space="preserve">  </w:t>
      </w:r>
      <w:r xmlns:wp="http://schemas.openxmlformats.org/drawingml/2010/wordprocessingDrawing" xmlns:w15="http://schemas.microsoft.com/office/word/2012/wordml">
        <w:rPr>
          <w:rFonts w:ascii="Arial" w:hAnsi="Arial" w:cs="Arial"/>
          <w:sz w:val="22"/>
          <w:szCs w:val="22"/>
        </w:rPr>
        <w:t xml:space="preserve">[PL 2001, c. 249,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PL 2001, c. 249,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§8110.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