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§8104-A. Exceptions to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§8104-A. Exceptions to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§8104-A. EXCEPTIONS TO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