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5527</w:t>
        <w:t xml:space="preserve">.  </w:t>
      </w:r>
      <w:r>
        <w:rPr>
          <w:b/>
        </w:rPr>
        <w:t xml:space="preserve">Designation of unknown person; restraining person</w:t>
      </w:r>
    </w:p>
    <w:p>
      <w:pPr>
        <w:jc w:val="both"/>
        <w:spacing w:before="100" w:after="100"/>
        <w:ind w:start="360"/>
        <w:ind w:firstLine="360"/>
      </w:pPr>
      <w:r>
        <w:rPr/>
      </w:r>
      <w:r>
        <w:rPr/>
      </w:r>
      <w:r>
        <w:t xml:space="preserve">The person having custody of the prisoner may be designated by the name of his office, if he has any, or by his own name; or if both are unknown or uncertain, he may be described by an assumed name. Anyone served with the writ shall be deemed the person thereby intended.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§5527. Designation of unknown person; restraining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§5527. Designation of unknown person; restraining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§5527. DESIGNATION OF UNKNOWN PERSON; RESTRAINING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