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Reinstatement following administrative dissolution</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corporation administratively dissolved under </w:t>
      </w:r>
      <w:r>
        <w:t>section 1113</w:t>
      </w:r>
      <w:r>
        <w:t xml:space="preserve"> may apply to the Secretary of State for reinstatement within 6 years after the effective date of dissolution. The application must:</w:t>
      </w:r>
    </w:p>
    <w:p>
      <w:pPr>
        <w:jc w:val="both"/>
        <w:spacing w:before="100" w:after="0"/>
        <w:ind w:start="720"/>
      </w:pPr>
      <w:r>
        <w:rPr/>
        <w:t>A</w:t>
        <w:t xml:space="preserve">.  </w:t>
      </w:r>
      <w:r>
        <w:rPr/>
      </w:r>
      <w:r>
        <w:t xml:space="preserve">State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B</w:t>
        <w:t xml:space="preserve">.  </w:t>
      </w:r>
      <w:r>
        <w:rPr/>
      </w:r>
      <w:r>
        <w:t xml:space="preserve">State that the ground or grounds for dissolution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C</w:t>
        <w:t xml:space="preserve">.  </w:t>
      </w:r>
      <w:r>
        <w:rPr/>
      </w:r>
      <w:r>
        <w:t xml:space="preserve">State that the corporation's name satisfies the requirements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1401, subsection 35</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1113, subsection 7</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§13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§13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Reinstatement following administrative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Reinstatement following administrative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§1114. REINSTATEMENT FOLLOWING ADMINISTRATIVE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