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§§3,4 (AMD). PL 2011, c. 657, Pt. W, §§5, 7 (REV). PL 2013,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