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13069-A</w:t>
        <w:t xml:space="preserve">.  </w:t>
      </w:r>
      <w:r>
        <w:rPr>
          <w:b/>
        </w:rPr>
        <w:t xml:space="preserve">Watercraft accidents involving personal injury or death</w:t>
      </w:r>
    </w:p>
    <w:p>
      <w:pPr>
        <w:jc w:val="both"/>
        <w:spacing w:before="100" w:after="100"/>
        <w:ind w:start="360"/>
        <w:ind w:firstLine="360"/>
      </w:pPr>
      <w:r>
        <w:rPr/>
      </w:r>
      <w:r>
        <w:rPr/>
      </w:r>
      <w:r>
        <w:t xml:space="preserve">The following provisions govern accidents involving watercraft that result in personal injury or death of a person.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 watercraft involved in an accident that results in personal injury or death of a person or results in the disappearance of a person indicating death or injury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 watercraft who knows that that watercraft was involved in an accident as described in this subsection shall report the accident as provided in this subsection if the operator of the watercraft is unknown.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 watercraft involved in an accident shall provide to an injured person or the operator or an occupant of any other watercraft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The registration number of the operator's watercraft.</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 watercraft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§13069-A. Watercraft accidents involving personal injury or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§13069-A. Watercraft accidents involving personal injury or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§13069-A. WATERCRAFT ACCIDENTS INVOLVING PERSONAL INJURY OR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