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8-1511</w:t>
        <w:t xml:space="preserve">.  </w:t>
      </w:r>
      <w:r>
        <w:rPr>
          <w:b/>
        </w:rPr>
        <w:t xml:space="preserve">Priority among security interests and entitlement holders</w:t>
      </w:r>
    </w:p>
    <w:p>
      <w:pPr>
        <w:jc w:val="both"/>
        <w:spacing w:before="100" w:after="0"/>
        <w:ind w:start="360"/>
        <w:ind w:firstLine="360"/>
      </w:pPr>
      <w:r>
        <w:rPr>
          <w:b/>
        </w:rPr>
        <w:t>(1)</w:t>
        <w:t xml:space="preserve">.  </w:t>
      </w:r>
      <w:r>
        <w:rPr>
          <w:b/>
        </w:rPr>
      </w:r>
      <w:r>
        <w:t xml:space="preserve"> </w:t>
      </w:r>
      <w:r>
        <w:t xml:space="preserve">Except as otherwise provided in </w:t>
      </w:r>
      <w:r>
        <w:t>subsections (2)</w:t>
      </w:r>
      <w:r>
        <w:t xml:space="preserve"> and </w:t>
      </w:r>
      <w:r>
        <w:t>(3)</w:t>
      </w:r>
      <w:r>
        <w:t xml:space="preserve">,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 claim of a creditor of a securities intermediary who has a security interest in a financial asset held by a securities intermediary has priority over claims of the securities intermediary's entitlement holders who have security entitlements with respect to that financial asset if the creditor has control over the financial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§8-1511. Priority among security interests and entitlement 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§8-1511. Priority among security interests and entitlement 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§8-1511. PRIORITY AMONG SECURITY INTERESTS AND ENTITLEMENT 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