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8-1112</w:t>
        <w:t xml:space="preserve">.  </w:t>
      </w:r>
      <w:r>
        <w:rPr>
          <w:b/>
        </w:rPr>
        <w:t xml:space="preserve">Creditor's legal process</w:t>
      </w:r>
    </w:p>
    <w:p>
      <w:pPr>
        <w:jc w:val="both"/>
        <w:spacing w:before="100" w:after="0"/>
        <w:ind w:start="360"/>
        <w:ind w:firstLine="360"/>
      </w:pPr>
      <w:r>
        <w:rPr>
          <w:b/>
        </w:rPr>
        <w:t>(1)</w:t>
        <w:t xml:space="preserve">.  </w:t>
      </w:r>
      <w:r>
        <w:rPr>
          <w:b/>
        </w:rPr>
      </w:r>
      <w:r>
        <w:t xml:space="preserve"> </w:t>
      </w:r>
      <w:r>
        <w:t xml:space="preserve">The interest of a debtor in a certificated security may be reached by a creditor only by actual seizure of the security certificate by the officer making the attachment or levy, except as otherwise provided in </w:t>
      </w:r>
      <w:r>
        <w:t>subsection (4)</w:t>
      </w:r>
      <w:r>
        <w:t xml:space="preserve">.  A certificated security for which the certificate has been surrendered to the issuer may be reached by a creditor by legal process upon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The interest of a debtor in an uncertificated security may be reached by a creditor only by legal process upon the issuer at its chief executive office in the United States, except as otherwise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The interest of a debtor in a security entitlement may be reached by a creditor only by legal process upon the securities intermediary with whom the debtor's securities account is maintained, except as otherwise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 not readily be reached by other legal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§8-1112. Creditor's legal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§8-1112. Creditor's legal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§8-1112. CREDITOR'S LEGAL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