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9092</w:t>
        <w:t xml:space="preserve">.  </w:t>
      </w:r>
      <w:r>
        <w:rPr>
          <w:b/>
        </w:rPr>
        <w:t xml:space="preserve">Purchase of equipment</w:t>
      </w:r>
    </w:p>
    <w:p>
      <w:pPr>
        <w:jc w:val="both"/>
        <w:spacing w:before="100" w:after="100"/>
        <w:ind w:start="360"/>
        <w:ind w:firstLine="360"/>
      </w:pPr>
      <w:r>
        <w:rPr/>
      </w:r>
      <w:r>
        <w:rPr/>
      </w:r>
      <w:r>
        <w:t xml:space="preserve">No mobile home park owner or operator may require a resident of the park to purchase from the owner or operator any underskirting, equipment for tying down mobile homes or any other equipment required by law, local ordinance or rule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Permitted regulations.</w:t>
        <w:t xml:space="preserve"> </w:t>
      </w:r>
      <w:r>
        <w:t xml:space="preserve"> </w:t>
      </w:r>
      <w:r>
        <w:t xml:space="preserve">The park operator may determine by rule the style or quality of the equipment which the tenant purchases from a vendor selected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§9092. Purchase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§9092. Purchase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§9092. PURCHASE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